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C938" w14:textId="77777777" w:rsidR="00F81268" w:rsidRPr="00F5055E" w:rsidRDefault="00F81268" w:rsidP="00F81268">
      <w:pPr>
        <w:spacing w:line="480" w:lineRule="auto"/>
        <w:rPr>
          <w:rFonts w:eastAsia="Calibri" w:cs="Times New Roman"/>
          <w:b/>
          <w:szCs w:val="28"/>
        </w:rPr>
      </w:pPr>
      <w:r w:rsidRPr="00F5055E">
        <w:rPr>
          <w:rFonts w:eastAsia="Calibri" w:cs="Times New Roman"/>
          <w:b/>
          <w:bCs/>
          <w:sz w:val="24"/>
          <w:szCs w:val="24"/>
        </w:rPr>
        <w:t>VI CHIẾT PHA RẮN</w:t>
      </w:r>
      <w:r w:rsidRPr="00F5055E">
        <w:rPr>
          <w:rFonts w:eastAsia="Calibri" w:cs="Times New Roman"/>
          <w:b/>
          <w:szCs w:val="28"/>
        </w:rPr>
        <w:t xml:space="preserve"> (A. Solid-phase microextraction)</w:t>
      </w:r>
    </w:p>
    <w:p w14:paraId="7D635354" w14:textId="25E70CE2" w:rsidR="00F81268" w:rsidRPr="00F5055E" w:rsidRDefault="00F81268" w:rsidP="00F81268">
      <w:pPr>
        <w:rPr>
          <w:rFonts w:eastAsia="Calibri" w:cs="Times New Roman"/>
          <w:szCs w:val="28"/>
        </w:rPr>
      </w:pPr>
      <w:r w:rsidRPr="00F5055E">
        <w:rPr>
          <w:rFonts w:eastAsia="Calibri" w:cs="Times New Roman"/>
          <w:szCs w:val="28"/>
        </w:rPr>
        <w:t xml:space="preserve">Kỹ thuật chiết pha rắn liên quan tới việc sử dụng sợi phủ với pha chiết (có thể là chất lỏng (polymer) hoặc rắn (chất hấp thu) để chiết các loại chất phân tích khác nhau (cả chất phân cực và không phân cực) từ các nền mẫu khác nhau (lỏng hoặc khí) được gọi là VCPR. Kỹ thuật chiết này ra đời vào đầu thập </w:t>
      </w:r>
      <w:r w:rsidR="007C61D1" w:rsidRPr="00F5055E">
        <w:rPr>
          <w:rFonts w:eastAsia="Calibri" w:cs="Times New Roman"/>
          <w:szCs w:val="28"/>
        </w:rPr>
        <w:t xml:space="preserve">niên </w:t>
      </w:r>
      <w:r w:rsidRPr="00F5055E">
        <w:rPr>
          <w:rFonts w:eastAsia="Calibri" w:cs="Times New Roman"/>
          <w:szCs w:val="28"/>
        </w:rPr>
        <w:t>90 của thế kỷ 20, là kỹ thuật chuẩn bị mẫu hiện đại,không sử dụng dung môi chiết để tách, chiết và làm giàu chất phân tích.. Tương tự như chiết pha rắn, VCPR liên quan đến các quá trình chuyển chất phân tích từ nền mẫu sang pha chiết nhờ gradient thế hóa học giữa nền mẫu và pha chiết. Khi chất phân tích đạt đến trạng thái cân bằng giữa nền mẫu và pha chiết, lượng chất phân tích được chiết là tối đa.</w:t>
      </w:r>
    </w:p>
    <w:p w14:paraId="6680A7E9" w14:textId="77777777" w:rsidR="00F81268" w:rsidRPr="00F5055E" w:rsidRDefault="00F81268" w:rsidP="00F81268">
      <w:pPr>
        <w:rPr>
          <w:rFonts w:eastAsia="Calibri" w:cs="Times New Roman"/>
          <w:szCs w:val="28"/>
        </w:rPr>
      </w:pPr>
      <w:r w:rsidRPr="00F5055E">
        <w:rPr>
          <w:rFonts w:eastAsia="Calibri" w:cs="Times New Roman"/>
          <w:szCs w:val="28"/>
        </w:rPr>
        <w:t>Nguyên lí của kỹ thuật này dựa trên cơ chế hấp phụ của các chất phân tích từ pha lỏng hoặc pha khí lên pha chiếtsau đó giải hấp chất phân tích bằng các phương pháp thích hợp như dùng dung môi hoặc nhiệt độ trong các thiết bị sắc ký lỏng/khí.</w:t>
      </w:r>
    </w:p>
    <w:p w14:paraId="70B69326" w14:textId="77777777" w:rsidR="00F81268" w:rsidRPr="00F5055E" w:rsidRDefault="00F81268" w:rsidP="00F81268">
      <w:pPr>
        <w:rPr>
          <w:rFonts w:eastAsia="Calibri" w:cs="Times New Roman"/>
          <w:szCs w:val="28"/>
        </w:rPr>
      </w:pPr>
      <w:r w:rsidRPr="00F5055E">
        <w:rPr>
          <w:rFonts w:eastAsia="Calibri" w:cs="Times New Roman"/>
          <w:szCs w:val="28"/>
        </w:rPr>
        <w:t>Hai kỹ thuật được sử dụng rộng rãi nhất là  VCPR  sợi phủ và VCPR trong ống (Hình 1).</w:t>
      </w:r>
    </w:p>
    <w:p w14:paraId="2737FC29" w14:textId="77777777" w:rsidR="00F81268" w:rsidRPr="00F5055E" w:rsidRDefault="00F81268" w:rsidP="00F81268">
      <w:pPr>
        <w:rPr>
          <w:rFonts w:eastAsia="Calibri" w:cs="Times New Roman"/>
          <w:i/>
          <w:iCs/>
          <w:szCs w:val="28"/>
        </w:rPr>
      </w:pPr>
      <w:r w:rsidRPr="00F5055E">
        <w:rPr>
          <w:rFonts w:eastAsia="Calibri" w:cs="Times New Roman"/>
          <w:i/>
          <w:iCs/>
          <w:szCs w:val="28"/>
        </w:rPr>
        <w:t>VCPR sợi phủ</w:t>
      </w:r>
      <w:r w:rsidRPr="00F5055E">
        <w:rPr>
          <w:rFonts w:eastAsia="Calibri" w:cs="Times New Roman"/>
          <w:szCs w:val="28"/>
        </w:rPr>
        <w:t xml:space="preserve"> gồm các kỹ thuật VCPR trực tiếp, VCPR không gian hơi và chiết màng.</w:t>
      </w:r>
    </w:p>
    <w:p w14:paraId="29D18557" w14:textId="77777777" w:rsidR="00F81268" w:rsidRPr="00F5055E" w:rsidRDefault="00F81268" w:rsidP="00F81268">
      <w:pPr>
        <w:rPr>
          <w:rFonts w:eastAsia="Calibri" w:cs="Times New Roman"/>
          <w:szCs w:val="28"/>
        </w:rPr>
      </w:pPr>
      <w:r w:rsidRPr="00F5055E">
        <w:rPr>
          <w:rFonts w:eastAsia="Calibri" w:cs="Times New Roman"/>
          <w:szCs w:val="28"/>
        </w:rPr>
        <w:t xml:space="preserve">VCPR trực tiếp: Pha chiết là sợi phủ được đưa vào mẫu và các chất phân tích được vận chuyển trực tiếp từ nền mẫu đến pha chiết. </w:t>
      </w:r>
    </w:p>
    <w:p w14:paraId="65F52947" w14:textId="77777777" w:rsidR="00F81268" w:rsidRPr="00F5055E" w:rsidRDefault="00F81268" w:rsidP="00F81268">
      <w:pPr>
        <w:rPr>
          <w:rFonts w:eastAsia="Calibri" w:cs="Times New Roman"/>
          <w:szCs w:val="28"/>
        </w:rPr>
      </w:pPr>
      <w:r w:rsidRPr="00F5055E">
        <w:rPr>
          <w:rFonts w:eastAsia="Calibri" w:cs="Times New Roman"/>
          <w:szCs w:val="28"/>
        </w:rPr>
        <w:t xml:space="preserve">VCPR không gian hơi: các chất phân tích được vận chuyển qua lớp ngăn không khí trước khi chúng có thể đến được lớp phủ. </w:t>
      </w:r>
    </w:p>
    <w:p w14:paraId="093D7E5C" w14:textId="77777777" w:rsidR="00F81268" w:rsidRPr="00F5055E" w:rsidRDefault="00F81268" w:rsidP="00F81268">
      <w:pPr>
        <w:rPr>
          <w:rFonts w:eastAsia="Calibri" w:cs="Times New Roman"/>
          <w:szCs w:val="28"/>
        </w:rPr>
      </w:pPr>
      <w:r w:rsidRPr="00F5055E">
        <w:rPr>
          <w:rFonts w:eastAsia="Calibri" w:cs="Times New Roman"/>
          <w:szCs w:val="28"/>
        </w:rPr>
        <w:t xml:space="preserve">VCPR gián tiếp qua màng: sợi phủ được tách ra khỏi mẫu bằng một màng chọn lọc nhằm bảo vệ sợi phủ khỏi bị hư hại. Màng bảo vệ có lợi cho việc xác định các chất phân tích có độ bay hơi rất thấp (những chất không phù hợp đối với phương pháp không gian hơi). </w:t>
      </w:r>
    </w:p>
    <w:p w14:paraId="172542AD" w14:textId="77777777" w:rsidR="00F81268" w:rsidRPr="00F5055E" w:rsidRDefault="00F81268" w:rsidP="00F81268">
      <w:pPr>
        <w:rPr>
          <w:rFonts w:eastAsia="Calibri" w:cs="Times New Roman"/>
          <w:szCs w:val="28"/>
        </w:rPr>
      </w:pPr>
      <w:r w:rsidRPr="00F5055E">
        <w:rPr>
          <w:rFonts w:eastAsia="Calibri" w:cs="Times New Roman"/>
          <w:i/>
          <w:iCs/>
          <w:szCs w:val="28"/>
        </w:rPr>
        <w:t>VCPR trong ống</w:t>
      </w:r>
      <w:r w:rsidRPr="00F5055E">
        <w:rPr>
          <w:rFonts w:eastAsia="Calibri" w:cs="Times New Roman"/>
          <w:szCs w:val="28"/>
        </w:rPr>
        <w:t xml:space="preserve"> gồm chế độ động và chế độ tĩnh.</w:t>
      </w:r>
    </w:p>
    <w:p w14:paraId="0B7BA39E" w14:textId="77777777" w:rsidR="00F81268" w:rsidRPr="00F5055E" w:rsidRDefault="00F81268" w:rsidP="00F81268">
      <w:pPr>
        <w:rPr>
          <w:rFonts w:eastAsia="Calibri" w:cs="Times New Roman"/>
          <w:szCs w:val="28"/>
        </w:rPr>
      </w:pPr>
      <w:r w:rsidRPr="00F5055E">
        <w:rPr>
          <w:rFonts w:eastAsia="Calibri" w:cs="Times New Roman"/>
          <w:szCs w:val="28"/>
        </w:rPr>
        <w:t xml:space="preserve">VCPR động trong ống: sử dụng một đoạn mao quản bên trong phủ một lớp mỏng pha chiết hoặc ống mao quản với pha chiết phân tán trên một vật liệu hỗ trợ trơ. Phương pháp này phù hợp với các mẫu nước sạch và khí không có hạt lơ lửng. </w:t>
      </w:r>
    </w:p>
    <w:p w14:paraId="2140A3CA" w14:textId="77777777" w:rsidR="00F81268" w:rsidRPr="00F5055E" w:rsidRDefault="00F81268" w:rsidP="00F81268">
      <w:pPr>
        <w:rPr>
          <w:rFonts w:eastAsia="Calibri" w:cs="Times New Roman"/>
          <w:szCs w:val="28"/>
        </w:rPr>
      </w:pPr>
      <w:r w:rsidRPr="00F5055E">
        <w:rPr>
          <w:rFonts w:eastAsia="Calibri" w:cs="Times New Roman"/>
          <w:szCs w:val="28"/>
        </w:rPr>
        <w:t>VCPR tĩnh trong ống: có thể tích hợp lấy mẫu với hệ thống VCPR đơn giản. Điều này đặc biệt quan trọng trong các phép đo tại hiện trường khi nồng độ chất phân tích thay đổi theo thời gian và vị trí. Quá trình chiết xảy ra qua pha khí tĩnh hoặc pha nước có trong kim do pha chiết không tiếp xúc trực tiếp với mẫu nhưng được chứa trong một ống bảo vệ (kim) mà không có dòng chảy của mẫu qua nó. Trong những trường hợp này, cơ chế vận chuyển chất phân tích duy nhất đến pha chiết là sự khuếch tán qua pha khí hoặc pha nước chứa trong ống.</w:t>
      </w:r>
    </w:p>
    <w:p w14:paraId="47D8497C" w14:textId="2BE60734" w:rsidR="00F81268" w:rsidRPr="00F5055E" w:rsidRDefault="00F81268" w:rsidP="00F81268">
      <w:pPr>
        <w:rPr>
          <w:rFonts w:eastAsia="Calibri" w:cs="Times New Roman"/>
          <w:szCs w:val="28"/>
        </w:rPr>
      </w:pPr>
      <w:r w:rsidRPr="00F5055E">
        <w:rPr>
          <w:rFonts w:eastAsia="Calibri" w:cs="Times New Roman"/>
          <w:szCs w:val="28"/>
        </w:rPr>
        <w:t xml:space="preserve">Các pha chiết thường được cố định trên các chất nền hỗ trợ, hoặc được chuẩn bị thành các sợi nguyên khối hoặc màng mỏng, có thể là pha chiết lỏng hoặc pha chiết rắn. Các vật liệu phủ thường được sử dụng trong VCPR hiện này bao gồm vật liệu </w:t>
      </w:r>
      <w:r w:rsidR="00CF5209" w:rsidRPr="00F5055E">
        <w:rPr>
          <w:rFonts w:eastAsia="Calibri" w:cs="Times New Roman"/>
          <w:szCs w:val="28"/>
        </w:rPr>
        <w:t>carbon</w:t>
      </w:r>
      <w:r w:rsidRPr="00F5055E">
        <w:rPr>
          <w:rFonts w:eastAsia="Calibri" w:cs="Times New Roman"/>
          <w:szCs w:val="28"/>
        </w:rPr>
        <w:t>, khung cơ-kim, polyme xốp sắp xếp trật tự và chất lỏng ion trùng hợp.</w:t>
      </w:r>
    </w:p>
    <w:tbl>
      <w:tblPr>
        <w:tblW w:w="0" w:type="auto"/>
        <w:jc w:val="center"/>
        <w:tblLook w:val="04A0" w:firstRow="1" w:lastRow="0" w:firstColumn="1" w:lastColumn="0" w:noHBand="0" w:noVBand="1"/>
      </w:tblPr>
      <w:tblGrid>
        <w:gridCol w:w="9072"/>
      </w:tblGrid>
      <w:tr w:rsidR="00F81268" w:rsidRPr="00F5055E" w14:paraId="2D1D0337" w14:textId="77777777" w:rsidTr="001E4EF2">
        <w:trPr>
          <w:jc w:val="center"/>
        </w:trPr>
        <w:tc>
          <w:tcPr>
            <w:tcW w:w="9288" w:type="dxa"/>
          </w:tcPr>
          <w:p w14:paraId="4F87F05D" w14:textId="77777777" w:rsidR="00F81268" w:rsidRPr="00F5055E" w:rsidRDefault="00F81268" w:rsidP="00F81268">
            <w:pPr>
              <w:jc w:val="center"/>
              <w:rPr>
                <w:rFonts w:eastAsia="Calibri" w:cs="Times New Roman"/>
                <w:szCs w:val="28"/>
              </w:rPr>
            </w:pPr>
            <w:r w:rsidRPr="00F5055E">
              <w:rPr>
                <w:rFonts w:eastAsia="Calibri" w:cs="Times New Roman"/>
                <w:noProof/>
                <w:szCs w:val="28"/>
              </w:rPr>
              <w:lastRenderedPageBreak/>
              <w:drawing>
                <wp:anchor distT="0" distB="0" distL="114300" distR="114300" simplePos="0" relativeHeight="251659264" behindDoc="0" locked="0" layoutInCell="1" allowOverlap="1" wp14:anchorId="73827BF3" wp14:editId="6FDA1522">
                  <wp:simplePos x="0" y="0"/>
                  <wp:positionH relativeFrom="character">
                    <wp:posOffset>0</wp:posOffset>
                  </wp:positionH>
                  <wp:positionV relativeFrom="line">
                    <wp:posOffset>0</wp:posOffset>
                  </wp:positionV>
                  <wp:extent cx="5552440" cy="1381125"/>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2440" cy="1381125"/>
                          </a:xfrm>
                          <a:prstGeom prst="rect">
                            <a:avLst/>
                          </a:prstGeom>
                          <a:noFill/>
                        </pic:spPr>
                      </pic:pic>
                    </a:graphicData>
                  </a:graphic>
                  <wp14:sizeRelH relativeFrom="page">
                    <wp14:pctWidth>0</wp14:pctWidth>
                  </wp14:sizeRelH>
                  <wp14:sizeRelV relativeFrom="page">
                    <wp14:pctHeight>0</wp14:pctHeight>
                  </wp14:sizeRelV>
                </wp:anchor>
              </w:drawing>
            </w:r>
            <w:r w:rsidRPr="00F5055E">
              <w:rPr>
                <w:rFonts w:eastAsia="Calibri" w:cs="Times New Roman"/>
                <w:noProof/>
                <w:szCs w:val="28"/>
              </w:rPr>
              <mc:AlternateContent>
                <mc:Choice Requires="wps">
                  <w:drawing>
                    <wp:inline distT="0" distB="0" distL="0" distR="0" wp14:anchorId="1C699CEF" wp14:editId="1AB63FBD">
                      <wp:extent cx="5553075" cy="1390650"/>
                      <wp:effectExtent l="0" t="0" r="0" b="0"/>
                      <wp:docPr id="87123446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530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DB5CB" id="Rectangle 1" o:spid="_x0000_s1026" style="width:437.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" filled="f" stroked="f">
                      <o:lock v:ext="edit" aspectratio="t"/>
                      <w10:anchorlock/>
                    </v:rect>
                  </w:pict>
                </mc:Fallback>
              </mc:AlternateContent>
            </w:r>
          </w:p>
        </w:tc>
      </w:tr>
    </w:tbl>
    <w:p w14:paraId="4D11303E" w14:textId="77777777" w:rsidR="00F81268" w:rsidRPr="00F5055E" w:rsidRDefault="00F81268" w:rsidP="00F81268">
      <w:pPr>
        <w:jc w:val="center"/>
        <w:rPr>
          <w:rFonts w:eastAsia="Calibri" w:cs="Times New Roman"/>
          <w:i/>
          <w:iCs/>
          <w:szCs w:val="28"/>
        </w:rPr>
      </w:pPr>
      <w:r w:rsidRPr="00F5055E">
        <w:rPr>
          <w:rFonts w:eastAsia="Calibri" w:cs="Times New Roman"/>
          <w:i/>
          <w:iCs/>
          <w:szCs w:val="28"/>
        </w:rPr>
        <w:t>Hình 1. Các kỹ thuật trong vi chiết pha rắn</w:t>
      </w:r>
    </w:p>
    <w:p w14:paraId="27749D81" w14:textId="77777777" w:rsidR="00F81268" w:rsidRPr="00F5055E" w:rsidRDefault="00F81268" w:rsidP="00F81268">
      <w:pPr>
        <w:rPr>
          <w:rFonts w:eastAsia="Calibri" w:cs="Times New Roman"/>
          <w:szCs w:val="28"/>
        </w:rPr>
      </w:pPr>
      <w:r w:rsidRPr="00F5055E">
        <w:rPr>
          <w:rFonts w:eastAsia="Calibri" w:cs="Times New Roman"/>
          <w:szCs w:val="28"/>
        </w:rPr>
        <w:t>Các yếu tố ảnh hưởng trong VCPR thường liên quan trực tiếp đến hệ số phân bố chất phân tích trên pha chiết và nền mẫu. Các yếu tố này bao gồm nhiệt độ, pH, muối và hàm lượng dung môi hữu cơ trong nước. Việc tăng nhiệt độ sẽ làm tăng tốc độ chiết, nhưng đồng thời làm giảm hằng số phân bố. Điều chỉnh độ pH của mẫu có thể cải thiện hiệu quả chiết các base và acid. Bằng cách điều chỉnh pH thích hợp, các acid và base yếu được chuyển thành dạng trung tính và có thể được chiết bởi sợi phủ trong VCPR. Để đảm bảo rằng ít nhất 99 % hợp chất có tính acid hoặc base ở dạng trung tính, độ pH phải thấp hơn pK</w:t>
      </w:r>
      <w:r w:rsidRPr="00F5055E">
        <w:rPr>
          <w:rFonts w:eastAsia="Calibri" w:cs="Times New Roman"/>
          <w:szCs w:val="28"/>
          <w:vertAlign w:val="subscript"/>
        </w:rPr>
        <w:t>a</w:t>
      </w:r>
      <w:r w:rsidRPr="00F5055E">
        <w:rPr>
          <w:rFonts w:eastAsia="Calibri" w:cs="Times New Roman"/>
          <w:szCs w:val="28"/>
        </w:rPr>
        <w:t xml:space="preserve"> của chất phân tích ít nhất hai đơn vị hoặc phải lớn hơn pK</w:t>
      </w:r>
      <w:r w:rsidRPr="00F5055E">
        <w:rPr>
          <w:rFonts w:eastAsia="Calibri" w:cs="Times New Roman"/>
          <w:szCs w:val="28"/>
          <w:vertAlign w:val="subscript"/>
        </w:rPr>
        <w:t>b</w:t>
      </w:r>
      <w:r w:rsidRPr="00F5055E">
        <w:rPr>
          <w:rFonts w:eastAsia="Calibri" w:cs="Times New Roman"/>
          <w:szCs w:val="28"/>
        </w:rPr>
        <w:t xml:space="preserve"> hai đơn vị. Việc thêm muối vào  mẫu nước thường làm tăng hằng số phân bố sợi/chất nền của các phân tử hữu cơ trung tính. </w:t>
      </w:r>
    </w:p>
    <w:p w14:paraId="3FCB35AE" w14:textId="77777777" w:rsidR="00F81268" w:rsidRPr="00F5055E" w:rsidRDefault="00F81268" w:rsidP="00F81268">
      <w:pPr>
        <w:rPr>
          <w:rFonts w:eastAsia="Calibri" w:cs="Times New Roman"/>
          <w:szCs w:val="28"/>
        </w:rPr>
      </w:pPr>
      <w:r w:rsidRPr="00F5055E">
        <w:rPr>
          <w:rFonts w:eastAsia="Calibri" w:cs="Times New Roman"/>
          <w:szCs w:val="28"/>
        </w:rPr>
        <w:t>Do tính linh hoạt, độ tin cậy, chi phí thấp và sự thuận tiện trong việc lấy mẫu (ví dụ, lấy mẫu tại chỗ), VCPR đã được sử dụng trong nhiều lĩnh vực cần sự chính xác và độ nhạy cao như phân tích thực phẩm, dược phẩm, môi trường, xét nghiệm pháp y - lâm sàng...</w:t>
      </w:r>
    </w:p>
    <w:p w14:paraId="71D7298D" w14:textId="77777777" w:rsidR="00F81268" w:rsidRPr="00F5055E" w:rsidRDefault="00F81268" w:rsidP="00F81268">
      <w:pPr>
        <w:ind w:left="4680" w:firstLine="360"/>
        <w:jc w:val="right"/>
        <w:rPr>
          <w:rFonts w:eastAsia="Calibri" w:cs="Times New Roman"/>
          <w:b/>
          <w:bCs/>
          <w:sz w:val="24"/>
          <w:szCs w:val="24"/>
        </w:rPr>
      </w:pPr>
      <w:r w:rsidRPr="00F5055E">
        <w:rPr>
          <w:rFonts w:eastAsia="Calibri" w:cs="Times New Roman"/>
          <w:b/>
          <w:bCs/>
          <w:sz w:val="24"/>
          <w:szCs w:val="24"/>
        </w:rPr>
        <w:t>PHẠM HÙNG VIỆT</w:t>
      </w:r>
    </w:p>
    <w:p w14:paraId="66620227" w14:textId="77777777" w:rsidR="00F81268" w:rsidRPr="00F5055E" w:rsidRDefault="00F81268" w:rsidP="00F81268">
      <w:pPr>
        <w:jc w:val="left"/>
        <w:rPr>
          <w:rFonts w:eastAsia="Calibri" w:cs="Times New Roman"/>
          <w:b/>
          <w:sz w:val="24"/>
          <w:szCs w:val="24"/>
        </w:rPr>
      </w:pPr>
      <w:r w:rsidRPr="00F5055E">
        <w:rPr>
          <w:rFonts w:eastAsia="Calibri" w:cs="Times New Roman"/>
          <w:b/>
          <w:sz w:val="24"/>
          <w:szCs w:val="24"/>
        </w:rPr>
        <w:t>Tài liệu tham khảo:</w:t>
      </w:r>
    </w:p>
    <w:p w14:paraId="58F97CCA" w14:textId="77777777" w:rsidR="00F81268" w:rsidRPr="00F81268" w:rsidRDefault="00F81268" w:rsidP="00F81268">
      <w:pPr>
        <w:ind w:left="567" w:hanging="283"/>
        <w:rPr>
          <w:rFonts w:eastAsia="Calibri" w:cs="Times New Roman"/>
          <w:sz w:val="24"/>
          <w:szCs w:val="24"/>
        </w:rPr>
      </w:pPr>
      <w:r w:rsidRPr="00F5055E">
        <w:rPr>
          <w:rFonts w:eastAsia="Calibri" w:cs="Times New Roman"/>
          <w:sz w:val="24"/>
          <w:szCs w:val="24"/>
        </w:rPr>
        <w:t xml:space="preserve">1. Jianqiao Xu and Gangfeng Ouyang, </w:t>
      </w:r>
      <w:r w:rsidRPr="00F5055E">
        <w:rPr>
          <w:rFonts w:eastAsia="Calibri" w:cs="Times New Roman"/>
          <w:i/>
          <w:iCs/>
          <w:sz w:val="24"/>
          <w:szCs w:val="24"/>
        </w:rPr>
        <w:t>Extraction: Solid-phase microextraction</w:t>
      </w:r>
      <w:r w:rsidRPr="00F5055E">
        <w:rPr>
          <w:rFonts w:eastAsia="Calibri" w:cs="Times New Roman"/>
          <w:sz w:val="24"/>
          <w:szCs w:val="24"/>
        </w:rPr>
        <w:t xml:space="preserve"> in </w:t>
      </w:r>
      <w:r w:rsidRPr="00F5055E">
        <w:rPr>
          <w:rFonts w:eastAsia="Calibri" w:cs="Times New Roman"/>
          <w:i/>
          <w:sz w:val="24"/>
          <w:szCs w:val="24"/>
        </w:rPr>
        <w:t>Encyclopedia of Analytical Science,</w:t>
      </w:r>
      <w:r w:rsidRPr="00F5055E">
        <w:rPr>
          <w:rFonts w:eastAsia="Calibri" w:cs="Times New Roman"/>
          <w:sz w:val="24"/>
          <w:szCs w:val="24"/>
        </w:rPr>
        <w:t xml:space="preserve"> 3</w:t>
      </w:r>
      <w:r w:rsidRPr="00F5055E">
        <w:rPr>
          <w:rFonts w:eastAsia="Calibri" w:cs="Times New Roman"/>
          <w:sz w:val="24"/>
          <w:szCs w:val="24"/>
          <w:vertAlign w:val="superscript"/>
        </w:rPr>
        <w:t>rd</w:t>
      </w:r>
      <w:r w:rsidRPr="00F5055E">
        <w:rPr>
          <w:rFonts w:eastAsia="Calibri" w:cs="Times New Roman"/>
          <w:sz w:val="24"/>
          <w:szCs w:val="24"/>
        </w:rPr>
        <w:t xml:space="preserve"> edition, Elservier, 2019, tr. 100−108.</w:t>
      </w:r>
    </w:p>
    <w:p w14:paraId="76353D6D" w14:textId="77777777" w:rsidR="00D93AEE" w:rsidRDefault="00D93AEE"/>
    <w:sectPr w:rsidR="00D93AEE"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68"/>
    <w:rsid w:val="003967FB"/>
    <w:rsid w:val="0044053A"/>
    <w:rsid w:val="00457C2A"/>
    <w:rsid w:val="005C1A5F"/>
    <w:rsid w:val="007C61D1"/>
    <w:rsid w:val="007E559D"/>
    <w:rsid w:val="00850AF8"/>
    <w:rsid w:val="00AB5AD7"/>
    <w:rsid w:val="00C96FFD"/>
    <w:rsid w:val="00CF5209"/>
    <w:rsid w:val="00D32001"/>
    <w:rsid w:val="00D93AEE"/>
    <w:rsid w:val="00DB3DA9"/>
    <w:rsid w:val="00F17A94"/>
    <w:rsid w:val="00F5055E"/>
    <w:rsid w:val="00F8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DEE0"/>
  <w15:chartTrackingRefBased/>
  <w15:docId w15:val="{F7E119D2-2362-4C14-835F-A40666AF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6</cp:revision>
  <dcterms:created xsi:type="dcterms:W3CDTF">2023-08-21T05:01:00Z</dcterms:created>
  <dcterms:modified xsi:type="dcterms:W3CDTF">2025-12-19T07:31:00Z</dcterms:modified>
</cp:coreProperties>
</file>